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9DB719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tbl>
      <w:tblPr>
        <w:tblpPr w:leftFromText="180" w:rightFromText="180" w:tblpX="1" w:tblpY="1422" w:horzAnchor="margin" w:vertAnchor="page" w:tblpXSpec="center"/>
        <w:tblW w:w="0" w:type="auto"/>
        <w:tblLook w:val="01E0"/>
      </w:tblPr>
      <w:tblGrid/>
      <w:tr>
        <w:trPr>
          <w:trHeight w:hRule="atLeast" w:val="2259"/>
        </w:trPr>
        <w:tc>
          <w:tcPr>
            <w:tcW w:w="3716" w:type="dxa"/>
          </w:tcPr>
          <w:p>
            <w:pPr>
              <w:spacing w:after="0" w:beforeAutospacing="0" w:afterAutospacing="0"/>
              <w:rPr>
                <w:rFonts w:ascii="Times New Roman" w:hAnsi="Times New Roman"/>
              </w:rPr>
            </w:pPr>
          </w:p>
        </w:tc>
        <w:tc>
          <w:tcPr>
            <w:tcW w:w="1942" w:type="dxa"/>
          </w:tcPr>
          <w:p>
            <w:pPr>
              <w:spacing w:after="0" w:beforeAutospacing="0" w:afterAutospacing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13" w:type="dxa"/>
          </w:tcPr>
          <w:p>
            <w:pPr>
              <w:spacing w:after="0" w:beforeAutospacing="0" w:afterAutospacing="0"/>
              <w:rPr>
                <w:rFonts w:ascii="Times New Roman" w:hAnsi="Times New Roman"/>
              </w:rPr>
            </w:pPr>
          </w:p>
        </w:tc>
      </w:tr>
    </w:tbl>
    <w:p>
      <w:pPr>
        <w:spacing w:lineRule="auto" w:line="240" w:after="0" w:beforeAutospacing="0" w:afterAutospacing="0"/>
        <w:rPr>
          <w:rFonts w:ascii="Times New Roman" w:hAnsi="Times New Roman"/>
          <w:b w:val="1"/>
          <w:sz w:val="28"/>
        </w:rPr>
      </w:pPr>
    </w:p>
    <w:p>
      <w:pPr>
        <w:spacing w:lineRule="auto" w:line="240" w:after="0" w:beforeAutospacing="0" w:afterAutospacing="0"/>
        <w:rPr>
          <w:rFonts w:ascii="Times New Roman" w:hAnsi="Times New Roman"/>
          <w:b w:val="1"/>
          <w:sz w:val="28"/>
        </w:rPr>
      </w:pPr>
    </w:p>
    <w:p>
      <w:pPr>
        <w:spacing w:lineRule="auto" w:line="240" w:after="0" w:beforeAutospacing="0" w:afterAutospacing="0"/>
        <w:rPr>
          <w:rFonts w:ascii="Times New Roman" w:hAnsi="Times New Roman"/>
          <w:b w:val="1"/>
          <w:sz w:val="28"/>
        </w:rPr>
      </w:pPr>
    </w:p>
    <w:p>
      <w:pPr>
        <w:spacing w:lineRule="auto" w:line="240" w:after="0" w:beforeAutospacing="0" w:afterAutospacing="0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28"/>
        </w:rPr>
        <w:t xml:space="preserve">                                                 </w:t>
      </w:r>
      <w:r>
        <w:rPr>
          <w:rFonts w:ascii="Times New Roman" w:hAnsi="Times New Roman"/>
          <w:b w:val="1"/>
          <w:sz w:val="32"/>
        </w:rPr>
        <w:t xml:space="preserve">План работы </w:t>
      </w:r>
    </w:p>
    <w:p>
      <w:pPr>
        <w:spacing w:lineRule="auto" w:line="240" w:after="0" w:beforeAutospacing="0" w:afterAutospacing="0"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 xml:space="preserve">со слабоуспевающими детьми </w:t>
      </w:r>
    </w:p>
    <w:p>
      <w:pPr>
        <w:spacing w:lineRule="auto" w:line="240" w:after="0" w:beforeAutospacing="0" w:afterAutospacing="0"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 xml:space="preserve">в 4  классе</w:t>
      </w:r>
    </w:p>
    <w:p>
      <w:pPr>
        <w:spacing w:lineRule="auto" w:line="240" w:after="0" w:beforeAutospacing="0" w:afterAutospacing="0"/>
        <w:jc w:val="center"/>
        <w:rPr>
          <w:rFonts w:ascii="Times New Roman" w:hAnsi="Times New Roman"/>
          <w:b w:val="1"/>
          <w:sz w:val="32"/>
        </w:rPr>
      </w:pPr>
    </w:p>
    <w:p>
      <w:pPr>
        <w:spacing w:lineRule="auto" w:line="240" w:beforeAutospacing="0" w:afterAutospacing="0"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на 20</w:t>
      </w:r>
      <w:r>
        <w:rPr>
          <w:rFonts w:ascii="Times New Roman" w:hAnsi="Times New Roman"/>
          <w:b w:val="1"/>
          <w:sz w:val="32"/>
        </w:rPr>
        <w:t>23</w:t>
      </w:r>
      <w:r>
        <w:rPr>
          <w:rFonts w:ascii="Times New Roman" w:hAnsi="Times New Roman"/>
          <w:b w:val="1"/>
          <w:sz w:val="32"/>
        </w:rPr>
        <w:t>– 2</w:t>
      </w:r>
      <w:r>
        <w:rPr>
          <w:rFonts w:ascii="Times New Roman" w:hAnsi="Times New Roman"/>
          <w:b w:val="1"/>
          <w:sz w:val="32"/>
        </w:rPr>
        <w:t>024</w:t>
      </w:r>
      <w:r>
        <w:rPr>
          <w:rFonts w:ascii="Times New Roman" w:hAnsi="Times New Roman"/>
          <w:b w:val="1"/>
          <w:sz w:val="32"/>
        </w:rPr>
        <w:t xml:space="preserve"> уч. г.</w:t>
      </w:r>
    </w:p>
    <w:p>
      <w:pPr>
        <w:spacing w:after="0" w:beforeAutospacing="0" w:afterAutospacing="0"/>
        <w:rPr>
          <w:rFonts w:ascii="Times New Roman" w:hAnsi="Times New Roman"/>
          <w:color w:val="000000"/>
          <w:sz w:val="32"/>
        </w:rPr>
      </w:pPr>
    </w:p>
    <w:p>
      <w:pPr>
        <w:spacing w:after="0" w:beforeAutospacing="0" w:afterAutospacing="0"/>
        <w:rPr>
          <w:rFonts w:ascii="Times New Roman" w:hAnsi="Times New Roman"/>
          <w:color w:val="000000"/>
          <w:sz w:val="32"/>
        </w:rPr>
      </w:pPr>
    </w:p>
    <w:p>
      <w:pPr>
        <w:spacing w:after="0" w:beforeAutospacing="0" w:afterAutospacing="0"/>
        <w:rPr>
          <w:rFonts w:ascii="Times New Roman" w:hAnsi="Times New Roman"/>
          <w:color w:val="000000"/>
          <w:sz w:val="32"/>
        </w:rPr>
      </w:pPr>
    </w:p>
    <w:p>
      <w:pPr>
        <w:spacing w:after="0" w:beforeAutospacing="0" w:afterAutospacing="0"/>
        <w:rPr>
          <w:rFonts w:ascii="Times New Roman" w:hAnsi="Times New Roman"/>
          <w:color w:val="000000"/>
          <w:sz w:val="32"/>
        </w:rPr>
      </w:pPr>
    </w:p>
    <w:p>
      <w:pPr>
        <w:spacing w:after="0" w:beforeAutospacing="0" w:afterAutospacing="0"/>
        <w:jc w:val="center"/>
        <w:rPr>
          <w:rFonts w:ascii="Times New Roman" w:hAnsi="Times New Roman"/>
          <w:color w:val="000000"/>
          <w:sz w:val="32"/>
        </w:rPr>
      </w:pPr>
    </w:p>
    <w:p>
      <w:pPr>
        <w:spacing w:after="0" w:beforeAutospacing="0" w:afterAutospacing="0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 xml:space="preserve">                                                                      </w:t>
      </w:r>
    </w:p>
    <w:tbl>
      <w:tblPr>
        <w:tblpPr w:leftFromText="180" w:rightFromText="180" w:tblpX="1" w:tblpY="708" w:horzAnchor="margin" w:vertAnchor="text" w:tblpXSpec="right"/>
        <w:tblOverlap w:val="never"/>
        <w:tblW w:w="0" w:type="auto"/>
        <w:tblLook w:val="04A0"/>
      </w:tblPr>
      <w:tblGrid/>
      <w:tr>
        <w:tc>
          <w:tcPr>
            <w:tcW w:w="4076" w:type="dxa"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Составитель: 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Ярыкова А</w:t>
            </w:r>
            <w:r>
              <w:rPr>
                <w:rFonts w:ascii="Times New Roman" w:hAnsi="Times New Roman"/>
                <w:sz w:val="28"/>
              </w:rPr>
              <w:t>.И.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учитель начальных классов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sz w:val="28"/>
              </w:rPr>
            </w:pPr>
          </w:p>
        </w:tc>
      </w:tr>
    </w:tbl>
    <w:p>
      <w:pPr>
        <w:spacing w:after="0" w:beforeAutospacing="0" w:afterAutospacing="0"/>
        <w:rPr>
          <w:rFonts w:ascii="Times New Roman" w:hAnsi="Times New Roman"/>
          <w:color w:val="000000"/>
          <w:sz w:val="32"/>
        </w:rPr>
      </w:pPr>
    </w:p>
    <w:p>
      <w:pPr>
        <w:spacing w:after="0" w:beforeAutospacing="0" w:afterAutospacing="0"/>
        <w:jc w:val="center"/>
        <w:rPr>
          <w:rFonts w:ascii="Times New Roman" w:hAnsi="Times New Roman"/>
          <w:color w:val="000000"/>
          <w:sz w:val="32"/>
        </w:rPr>
      </w:pPr>
    </w:p>
    <w:p>
      <w:pPr>
        <w:spacing w:after="0" w:beforeAutospacing="0" w:afterAutospacing="0"/>
        <w:jc w:val="center"/>
        <w:rPr>
          <w:rFonts w:ascii="Times New Roman" w:hAnsi="Times New Roman"/>
          <w:color w:val="000000"/>
          <w:sz w:val="32"/>
        </w:rPr>
      </w:pPr>
    </w:p>
    <w:p>
      <w:pPr>
        <w:spacing w:after="0" w:beforeAutospacing="0" w:afterAutospacing="0"/>
        <w:jc w:val="center"/>
        <w:rPr>
          <w:rFonts w:ascii="Times New Roman" w:hAnsi="Times New Roman"/>
          <w:color w:val="000000"/>
          <w:sz w:val="32"/>
        </w:rPr>
      </w:pPr>
    </w:p>
    <w:p>
      <w:pPr>
        <w:spacing w:after="0" w:beforeAutospacing="0" w:afterAutospacing="0"/>
        <w:jc w:val="center"/>
        <w:rPr>
          <w:rFonts w:ascii="Times New Roman" w:hAnsi="Times New Roman"/>
          <w:color w:val="000000"/>
          <w:sz w:val="32"/>
        </w:rPr>
      </w:pPr>
    </w:p>
    <w:p>
      <w:pPr>
        <w:spacing w:after="0" w:beforeAutospacing="0" w:afterAutospacing="0"/>
        <w:jc w:val="center"/>
        <w:rPr>
          <w:rFonts w:ascii="Times New Roman" w:hAnsi="Times New Roman"/>
          <w:color w:val="000000"/>
          <w:sz w:val="32"/>
        </w:rPr>
      </w:pPr>
    </w:p>
    <w:p>
      <w:pPr>
        <w:spacing w:after="0" w:beforeAutospacing="0" w:afterAutospacing="0"/>
        <w:jc w:val="center"/>
        <w:rPr>
          <w:rFonts w:ascii="Times New Roman" w:hAnsi="Times New Roman"/>
          <w:color w:val="000000"/>
          <w:sz w:val="32"/>
        </w:rPr>
      </w:pPr>
    </w:p>
    <w:p>
      <w:pPr>
        <w:spacing w:after="0" w:beforeAutospacing="0" w:afterAutospacing="0"/>
        <w:jc w:val="center"/>
        <w:rPr>
          <w:rFonts w:ascii="Times New Roman" w:hAnsi="Times New Roman"/>
          <w:color w:val="000000"/>
          <w:sz w:val="32"/>
        </w:rPr>
      </w:pPr>
    </w:p>
    <w:p>
      <w:pPr>
        <w:spacing w:after="0" w:beforeAutospacing="0" w:afterAutospacing="0"/>
        <w:jc w:val="center"/>
        <w:rPr>
          <w:rFonts w:ascii="Times New Roman" w:hAnsi="Times New Roman"/>
          <w:color w:val="000000"/>
          <w:sz w:val="32"/>
        </w:rPr>
      </w:pP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b w:val="1"/>
          <w:sz w:val="28"/>
        </w:rPr>
      </w:pP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             с.Большая Арешевка.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b w:val="1"/>
          <w:sz w:val="28"/>
        </w:rPr>
      </w:pP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b w:val="1"/>
          <w:sz w:val="28"/>
        </w:rPr>
      </w:pP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b w:val="1"/>
          <w:sz w:val="28"/>
        </w:rPr>
      </w:pP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1. Пояснительная записка 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sz w:val="18"/>
        </w:rPr>
        <w:tab/>
        <w:tab/>
        <w:tab/>
        <w:tab/>
      </w:r>
      <w:r>
        <w:rPr>
          <w:rFonts w:ascii="Times New Roman" w:hAnsi="Times New Roman"/>
          <w:b w:val="1"/>
          <w:sz w:val="24"/>
        </w:rPr>
        <w:t xml:space="preserve">Общая часть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Одной из главных проблем, которую приходится решать педагогам наших школ, - это работа со слабоуспевающими учащимися.</w:t>
      </w:r>
    </w:p>
    <w:p>
      <w:pPr>
        <w:shd w:val="clear" w:fill="FFFFFF"/>
        <w:spacing w:lineRule="auto" w:line="240" w:before="82" w:after="82" w:beforeAutospacing="0" w:afterAutospacing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последнее время психологи и педагоги вместе с медиками отмечают неуклонный рост числа детей с проблемами общего поведения и обучения. Специалисты отмечают, что негативные изменения экологической и социально-экономической ситуации в стране ухудшают соматическое и нервно-психическое здоровье школьников, а в условиях интенсификации обучения и перегруженности школьных программ значительно возрастает число неуспевающих.  </w:t>
      </w:r>
    </w:p>
    <w:p>
      <w:pPr>
        <w:shd w:val="clear" w:fill="FFFFFF"/>
        <w:spacing w:lineRule="auto" w:line="240" w:before="82" w:after="82" w:beforeAutospacing="0" w:afterAutospacing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Однако никак нельзя сбрасывать со счёта и социально-психологический фактор неуспеваемости. Ведь ребёнок обучается в коллективе, в котором постоянно происходит подкрепляемое оценками учителя сравнение детей между собой. Неуспевающий ученик выставляется как бы на «обозрение» сверстников и практически ежедневно переживает ситуацию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</w:rPr>
        <w:t>неуспеха. Всё это, естественно не способствует его личностному становлению и развитию. Становится очевидным, что часть вины за такое большое количество двоечников ложится на наши плечи, плечи педагогов. Под неуспеваемостью обычно понимаются итоговые отрицательные отметки, а к причинам неуспеваемости относят все обстоятельства, которые предшествуют получению учеником неудовлетворительных отметок. В результате совершенно разные явления не дифференцируются, трактуются как однородные — акты поведения учеников (не выполняет домашние задания, не слушает на уроках), черты их личности (ленив, неорганизован), элементы формирующейся неуспеваемости (пробелы в знаниях и навыках, недостатки познавательной деятельности)— все попадает в причины.</w:t>
      </w:r>
    </w:p>
    <w:p>
      <w:pPr>
        <w:shd w:val="clear" w:fill="FFFFFF"/>
        <w:spacing w:lineRule="auto" w:line="360" w:after="0" w:beforeAutospacing="0" w:afterAutospacing="0"/>
        <w:rPr>
          <w:rFonts w:ascii="Times New Roman" w:hAnsi="Times New Roman"/>
          <w:sz w:val="18"/>
        </w:rPr>
      </w:pP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  Слабоуспевающими принято считать учащихся, которые имеют слабые умственные способности и слабые учебные умения и навыки, низкий уровень памяти или те, у которых отсутствуют действенные мотивы учения. Не секрет, что количество таких учащихся в школах составляет примерно 10-15 %. Чтобы данная категория учащихся не перешла в разряд неуспевающих, необходима систематизированная работа со слабоуспевающими учащимися всех служб образовательного учреждения. Основу такой работы может составлять Положение о деятельности педагогического коллектива со слабоуспевающими учащимися и их родителями.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Основная проблема – это несоответствие структуры образовательного пространства массовой школы, традиционных форм образования с особенностями личности каждого ребенка затруднения в обучении, связанные: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с состоянием здоровья: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занятия спортом;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какими либо видами художественного творчества;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неблагоприятной обстановкой в семье.</w:t>
      </w:r>
    </w:p>
    <w:p>
      <w:pPr>
        <w:shd w:val="clear" w:fill="FFFFFF"/>
        <w:spacing w:lineRule="auto" w:line="240" w:before="82" w:after="82" w:beforeAutospacing="0" w:afterAutospacing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На фоне школьных неудач, постоянного неуспеха познавательная потребность очень скоро исчезает, а учебная мотивация так и не возникает. Поэтому совершенно необходима специальная «поддерживающая» работа, помогающая детям, испытывающим трудности в обучении, успешно осваивать учебный материал, получая постоянное положение от учителя. Необходимы дополнительные упражнения, в которые заключена продуманная система помощи ребенку, заключающая в серии «подсказок», в основе которых лежит последовательность операций, необходимых для успешного обучения. Кроме того, этим детям необходимо большее количество на отработку навыка. 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  Цель и задачи программы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ликвидация пробелов у учащихся по предметам: русский язык и математика;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создание условий для успешного индивидуального развития ребенка;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Краткая характеристика слабоуспевающих детей</w:t>
      </w:r>
      <w:r>
        <w:rPr>
          <w:rFonts w:ascii="Times New Roman" w:hAnsi="Times New Roman"/>
        </w:rPr>
        <w:t xml:space="preserve">  (См. в приложении список неуспевающих)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Эти дети требует особенного подхода к организации учебного процесса. Они в силу особенностей своего развития нуждаются в особой поддержке со стороны учителя, и при отсутствии должного внимания у них возникают серьезные трудности в обучении. Таким образом, эти дети без специально продуманной поддержки могут перейти в разряд неуспевающих. На индивидуальных занятиях работают под руководством учителя, который направляет их работу, уточняет формулировки, помогает понять условия заданий, осуществляет контроль  за правильностью выполнения.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Принципы построения:  Приоритет индивидуальности.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Принципы реализации - создание условий для реализации индивидуальных особенностей и возможностей личности; - выстраивания ребенком совместно с взрослыми индивидуального пути развития. 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ab/>
      </w:r>
      <w:r>
        <w:rPr>
          <w:rFonts w:ascii="Times New Roman" w:hAnsi="Times New Roman"/>
          <w:sz w:val="24"/>
        </w:rPr>
        <w:t>Принципы работы с неуспевающими учениками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18"/>
        </w:rPr>
      </w:pPr>
      <w:r>
        <w:rPr>
          <w:rFonts w:ascii="Times New Roman" w:hAnsi="Times New Roman"/>
        </w:rPr>
        <w:t>Учитель начальных классов</w:t>
      </w:r>
      <w:r>
        <w:rPr>
          <w:rFonts w:ascii="Times New Roman" w:hAnsi="Times New Roman"/>
          <w:sz w:val="18"/>
        </w:rPr>
        <w:t xml:space="preserve">   ДОЛЖЕН ПОМОЧЬ УЧЕНИКУ ПРОЯВИТЬ СВОИ ЛУЧШИЕ КАЧЕСТВА.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Выделяют 3 основные причины неуспеваемости: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1.       Физиологические;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2.       Психологические;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3.       Социальные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Физиологические причины – частые болезни, общая слабость здоровья, инфекционные болезни, болезни нервной системы, нарушение двигательной функции.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Психологические причины – особенности развития внимания, памяти, мышления, медленность понимания, недостаточный уровень развития речи, несформированность познавательных интересов, узость кругозора.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Социальные причины – неблагополучные условия жизни, недостойное поведение родителей, отсутствие домашнего режима, безнадзорность ребенка, материальное положение семьи.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Неуспеваемость возникает в результате выраженного функционального напряжения, ухудшения здоровья, нарушения социально-психологической адаптации, снижения успешности обучения (повышения уровня неудовлетворенности оценок по основным предметам).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этом в основе неуспеваемости лежит не одна из этих причин, а несколько и довольно часто они действуют в комплексе. Отсюда у ученика возникает ряд проблем: в общении, в поведении, в обучении.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точки зрения психологии причина неуспеваемости делится на 2 группы: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       Недостатки познавательной деятельности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-    несформированность приемов учебной деятельности;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- недостатки развития психических процессов, главным образом мыслительной сферы ребенка;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- неадекватное использование ребенком своих индивидуально-типологических особенностей.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       Недостатки в развитии мотивационной сферы ребенка.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I. Недостатки познавательной деятельности.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Несформированность приемов учебной деятельности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Такие дети просто не умеют учиться, т.к. учебная деятельность требует овладения определенными ЗУНами: счет в уме, заучивание стихотворения наизусть и т.д. Такие дети усваивают материал без предварительной логической обработки, выполняют различные упражнения без предварительного усвоения соответствующих правил. Они формально усваивают учебные приемы (например, могут вычленять основные части текста по образцам, а не по смысловым связям). Таким образом, такие дети выбирают определенные способы и приемы работы интуитивно, и со временем эти неправильные навыки в работе закрепляются.  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          Ключевые моменты в организации учебного процесса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со   слабоуспевающими  детьми</w:t>
      </w:r>
    </w:p>
    <w:p>
      <w:pPr>
        <w:numPr>
          <w:ilvl w:val="0"/>
          <w:numId w:val="1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>Для усиления эффективности работы со слабоуспевающими учащимися использовать новые образовательные технологии, инновационные формы и  методы обучения: личностно – ориентированный подход (обучение строить с учетом развитости индивидуальных способностей и уровня сформированности умений учебного труда) и разноуровневую дифференциацию на всех этапах урока.</w:t>
      </w:r>
    </w:p>
    <w:p>
      <w:pPr>
        <w:numPr>
          <w:ilvl w:val="0"/>
          <w:numId w:val="1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>Организовать индивидуально-групповую работу, применяя дифференцированные тренировочные задания, инвариантные практические работы, дифференцированные проверочные работы, творческие работы по выбору.</w:t>
      </w:r>
    </w:p>
    <w:p>
      <w:pPr>
        <w:numPr>
          <w:ilvl w:val="0"/>
          <w:numId w:val="1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>На уроках и  дополнительных занятий применять «Карточки помощи», «Памятки для учащихся», шире использовать игровые задания, которые  дают возможность работать на уровне подсознания. В работе создаются специальные ситуации успеха.  </w:t>
      </w:r>
    </w:p>
    <w:p>
      <w:pPr>
        <w:numPr>
          <w:ilvl w:val="0"/>
          <w:numId w:val="1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>При опросе  слабоуспевающим  школьникам дается примерный план ответа, разрешается пользоваться планом, составленным дома, больше времени готовиться к ответу у доски, делать предварительные записи, пользоваться наглядными пособиями  и  пр.</w:t>
      </w:r>
    </w:p>
    <w:p>
      <w:pPr>
        <w:numPr>
          <w:ilvl w:val="0"/>
          <w:numId w:val="1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>Ученикам задаются наводящие вопросы, помогающие последовательно излагать материал.</w:t>
      </w:r>
    </w:p>
    <w:p>
      <w:pPr>
        <w:numPr>
          <w:ilvl w:val="0"/>
          <w:numId w:val="1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>Периодически проверяется усвоение материала по темам уроков, на которых ученик отсутствовал по той или иной причине.</w:t>
      </w:r>
    </w:p>
    <w:p>
      <w:pPr>
        <w:numPr>
          <w:ilvl w:val="0"/>
          <w:numId w:val="1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>В ходе опроса  и  при анализе его результатов обеспечивается атмосфера доброжелательности.</w:t>
      </w:r>
    </w:p>
    <w:p>
      <w:pPr>
        <w:numPr>
          <w:ilvl w:val="0"/>
          <w:numId w:val="1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>В процессе изучения нового материала внимание  слабоуспевающих  учеников концентрируется на наиболее важных  и  сложных разделах изучаемой темы, учитель чаще обращается к ним с вопросами, выясняющими степень понимания учебного материала,  стимулирует вопросы учеников при затруднениях в усвоении нового материала.</w:t>
      </w:r>
    </w:p>
    <w:p>
      <w:pPr>
        <w:numPr>
          <w:ilvl w:val="0"/>
          <w:numId w:val="1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>В ходе самостоятельной  работы  на уроке  слабоуспевающим  школьникам даются задания, направленные на устранение ошибок, допускаемых ими при ответах или в письменных  работах: отмечаются положительные моменты в их  работе  для стимулирования новых усилий, отмечаются типичные затруднения в  работе   и  указываются способы их устранения, оказывается помощь с одновременным развитием самостоятельности в учении.</w:t>
      </w:r>
    </w:p>
    <w:p>
      <w:pPr>
        <w:numPr>
          <w:ilvl w:val="0"/>
          <w:numId w:val="1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>При организации домашней  работы  для  слабоуспевающих  школьников подбираются задания по осознанию и исправлению ошибок: проводится подробный инструктаж о порядке выполнения домашних заданий, о возможных затруднениях, предлагаются (при необходимости) карточки-консультации, даются задания по повторению материала, который потребуется для изучения новой темы. Объем домашних заданий рассчитывается так, чтобы не допустить перегрузки.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  <w:tab/>
        <w:tab/>
        <w:t xml:space="preserve">Программа деятельности классного руководителя </w:t>
      </w:r>
    </w:p>
    <w:p>
      <w:pPr>
        <w:shd w:val="clear" w:fill="FFFFFF"/>
        <w:spacing w:lineRule="auto" w:line="360" w:before="82" w:after="82" w:beforeAutospacing="0" w:afterAutospacing="0"/>
        <w:ind w:firstLine="708" w:left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со слабоуспевающими учащимися </w:t>
      </w:r>
    </w:p>
    <w:p>
      <w:pPr>
        <w:numPr>
          <w:ilvl w:val="0"/>
          <w:numId w:val="2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целью предупреждения снижения успеваемости и повышения уровня и качества обученности школьников  усилить работу со слабоуспевающими учащимися, используя эффективные формы контроля. </w:t>
      </w:r>
    </w:p>
    <w:p>
      <w:pPr>
        <w:numPr>
          <w:ilvl w:val="0"/>
          <w:numId w:val="2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>Взять под систематический контроль посещаемость  учениками уроков, дополнительных занятий, кружков и спортивных секций.</w:t>
      </w:r>
    </w:p>
    <w:p>
      <w:pPr>
        <w:numPr>
          <w:ilvl w:val="0"/>
          <w:numId w:val="2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>Наметить пути создания успешности для этих учащихся, работать в контакте: классный руководитель – учащийся  – родители – преподаватели.  </w:t>
      </w:r>
    </w:p>
    <w:p>
      <w:pPr>
        <w:numPr>
          <w:ilvl w:val="0"/>
          <w:numId w:val="2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>В работе с родителями: поддерживать связь, привлекая их к занятиям с ребёнком дома,  проводить беседы, давать советы и рекомендации  по улучшению успеваемости.</w:t>
      </w:r>
    </w:p>
    <w:p>
      <w:pPr>
        <w:numPr>
          <w:ilvl w:val="0"/>
          <w:numId w:val="2"/>
        </w:numPr>
        <w:shd w:val="clear" w:fill="FFFFFF"/>
        <w:spacing w:lineRule="auto" w:line="240" w:before="100" w:after="100" w:beforeAutospacing="1" w:afterAutospacing="1"/>
        <w:ind w:left="67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 Работать над выработкой сознательной учебной дисциплины учащихся, развивать положительную мотивацию в обучении. </w:t>
      </w:r>
    </w:p>
    <w:p>
      <w:pPr>
        <w:shd w:val="clear" w:fill="FFFFFF"/>
        <w:spacing w:lineRule="auto" w:line="360" w:before="82" w:after="82" w:beforeAutospacing="0" w:afterAutospacing="0"/>
        <w:ind w:left="14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Программа деятельности учителя начальных классов                                                         со слабоуспевающими учащимися. </w:t>
      </w:r>
    </w:p>
    <w:p>
      <w:pPr>
        <w:shd w:val="clear" w:fill="FFFFFF"/>
        <w:spacing w:lineRule="auto" w:line="240" w:before="82" w:after="82" w:beforeAutospacing="0" w:afterAutospacing="0"/>
        <w:ind w:left="720"/>
        <w:rPr>
          <w:rFonts w:ascii="Times New Roman" w:hAnsi="Times New Roman"/>
        </w:rPr>
      </w:pPr>
      <w:r>
        <w:rPr>
          <w:rFonts w:ascii="Times New Roman" w:hAnsi="Times New Roman"/>
          <w:sz w:val="18"/>
        </w:rPr>
        <w:tab/>
      </w:r>
      <w:r>
        <w:rPr>
          <w:rFonts w:ascii="Times New Roman" w:hAnsi="Times New Roman"/>
        </w:rPr>
        <w:t xml:space="preserve">Главная задача заключается в том, чтобы просто перестроить приемы и способы работы с материалом, которые уже имеются у ученика, а не разрушать нежелательные способы.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ПРИМЕР: если ребенок вычленяет основные части текста по образцам, а не по смысловым связям, то необходимо использовать такие приемы смысловой обработки, как:  - выделение опорных пунктов;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 - составление плана тезисов;</w:t>
      </w:r>
    </w:p>
    <w:p>
      <w:pPr>
        <w:shd w:val="clear" w:fill="FFFFFF"/>
        <w:spacing w:lineRule="auto" w:line="240" w:before="82" w:after="82" w:beforeAutospacing="0" w:afterAutospacing="0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составление логической схемы прочитанного отрывка;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формулирование главной мысли;</w:t>
      </w:r>
    </w:p>
    <w:p>
      <w:pPr>
        <w:shd w:val="clear" w:fill="FFFFFF"/>
        <w:spacing w:lineRule="auto" w:line="240" w:before="82" w:after="82" w:beforeAutospacing="0" w:afterAutospacing="0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Постепенно ребенок привыкает к тому, что любой текст, в виде задания, правила, он будет разбивать на эти составляющие смысловой обработки.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Недостатки развития психических процессов.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Эта психологическая причина неуспеваемости является более скрытой и менее очевидной для преподавателя, которая заключается в недостаточном развитии мышления, т.к. именно мышление является важнейшим среди психических процессов, влияющих на восприятие учебного материала школьником в сочетании с памятью и вниманием.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НАПРИМЕР: слабоуспевающие дети показывают хорошие результаты при запоминании чисел, слов доступных им по содержанию текста, близкого к жизненному опыту. Однако при запоминании более сложных текстов, где уже нужно использовать логическую память тесно связанную с процессом мышления, они дают худшие результаты. 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Поэтому не память и внимание, а специфика мыслительной деятельности является первоисточником трудностей у значительной части неуспевающих детей.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ab/>
        <w:t>Для преодоления неуспеваемости у интеллектуально пассивных школьников необходимо формировать интеллектуальные умения в виде тренировки ряда мыслительных операций: абстрагирования, обобщения, анализа, классификации, сравнения. При этом необходимо определить,  какая конкретная операция страдает, и довести до уровня осознания.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Неадекватное использование ребенком своих индивидуально-типологических особенностей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Здесь рассматривается сила нервной системы, которая отвечает за выносливость, работоспособность ребенка. Чем выше сила нервной системы, тем выше уровень работоспособности.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Поэтому неуспевающим ребенком станет тот ученик, у которого слабая сила нервной системы, и которые устают от длительной напряженной работы. Как правило, эти дети чаще допускают  ошибки, медленно усваивают материал. Такие дети чувствуют себя не уютно, а, следовательно, и не справляются с заданием в ситуации: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когда учитель требует немедленного ответа; 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- в ситуации, требующей распределения внимания или его переключения с одного вида деятельности на другой (пример: опрос + запись в тетрадь);  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- в ситуации, когда необходимо усвоить разнообразный по содержанию материл.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Необходимо формирование индивидуального подхода к таким ученикам при дозировке  домашнего задания, определении вариантов классных и контрольных работ, учитывать степень их подготовленности. А так же: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- дать ученику на обдумывание поставленного вопроса больше времени;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- не заставлять отвечать новый, только что усвоенный на уроке материал;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путем правильной тактики опросов и поощрений сформировать уверенность в своих силах   в своих знаниях, в возможности учиться;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- следует осторожно оценивать неудачи ученика;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- желательно, чтобы ответы таких учеников были письменными, а не устными.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Ведущей причиной неуспеваемости может стать несформированность у школьника положительной, устойчивой мотивации к учебной деятельности.                                                       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Что в этом случае делать учителю?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       Усилия учителя должны быть направлены на формирование устойчивой мотивации достижения успеха, с одной стороны и развитие учебных интересов с другой.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2.        Формирование устойчивой мотивации достижения успеха возможно с повышением самооценки школьника, тем самым самооценка играет положительную роль в утверждении личности ребенка как школьника в посильных для него видах деятельности.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        Преодоление неуверенности школьника в себе, т.е. рекомендуется ставить перед          учеником такие задачи, которые будут ему посильны, выполнимы и, в тоже время, развивающие его возможности.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4.        Учителю необходимо вычислить те сферы деятельности неуспевающего ученика, в ходе выполнения которых он может проявить инициативу и заслужить признание в школе.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        Рекомендуется закрепить осознание школьником имеющихся у него достижений и успехов.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        Полезно поощрять, отличать и фиксировать малейшие удачи ребенка в учебной деятельности, тем самым не дать закрепиться новым неудачам. </w:t>
      </w:r>
    </w:p>
    <w:p>
      <w:pPr>
        <w:shd w:val="clear" w:fill="FFFFFF"/>
        <w:spacing w:lineRule="auto" w:line="240" w:before="82" w:after="82" w:beforeAutospacing="0" w:afterAutospacing="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7.        Подробное обоснование поставленной оценки, а также выделение критериев, по которым идет оценивание, чтобы они были понятны самому ученику.</w:t>
      </w:r>
    </w:p>
    <w:p>
      <w:pPr>
        <w:shd w:val="clear" w:fill="FFFFFF"/>
        <w:spacing w:lineRule="auto" w:line="240" w:before="100" w:after="100" w:beforeAutospacing="1" w:afterAutospacing="1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8.        Формирование учебных интересов: дополнительный развивающий материал, обращение к непосредственному жизненному опыту, широкое использование собственных наблюдений, использование на уроке наглядного материала.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работы со слабоуспевающими учащимися на 2014-2015 уч. год</w:t>
      </w:r>
    </w:p>
    <w:p>
      <w:pPr>
        <w:shd w:val="clear" w:fill="FFFFFF"/>
        <w:spacing w:lineRule="auto" w:line="360" w:before="82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классного руководителя 4 класса </w:t>
      </w:r>
    </w:p>
    <w:tbl>
      <w:tblPr>
        <w:tblStyle w:val="T2"/>
        <w:tblW w:w="0" w:type="auto"/>
        <w:tblLook w:val="04A0"/>
      </w:tblPr>
      <w:tblGrid/>
      <w:tr>
        <w:tc>
          <w:tcPr>
            <w:tcW w:w="573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№ п/п</w:t>
            </w:r>
          </w:p>
        </w:tc>
        <w:tc>
          <w:tcPr>
            <w:tcW w:w="7048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</w:t>
            </w:r>
            <w:r>
              <w:rPr>
                <w:rFonts w:ascii="Times New Roman" w:hAnsi="Times New Roman"/>
                <w:b w:val="1"/>
                <w:sz w:val="24"/>
              </w:rPr>
              <w:t>Мероприятия</w:t>
            </w:r>
          </w:p>
        </w:tc>
        <w:tc>
          <w:tcPr>
            <w:tcW w:w="2517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         Срок</w:t>
            </w:r>
          </w:p>
        </w:tc>
      </w:tr>
      <w:tr>
        <w:tc>
          <w:tcPr>
            <w:tcW w:w="573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1.</w:t>
            </w:r>
          </w:p>
        </w:tc>
        <w:tc>
          <w:tcPr>
            <w:tcW w:w="7048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Составить список слабоуспевающих  учащихся  по итогам диагностики учащихся.</w:t>
            </w:r>
          </w:p>
        </w:tc>
        <w:tc>
          <w:tcPr>
            <w:tcW w:w="2517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573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7048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Установление причин отставания  слабоуспевающих учащихся.  Информацию зафиксировать в специальную тетрадь по работе со слабоуспевающими учащимися своего класса</w:t>
            </w:r>
          </w:p>
        </w:tc>
        <w:tc>
          <w:tcPr>
            <w:tcW w:w="2517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</w:p>
        </w:tc>
      </w:tr>
      <w:tr>
        <w:tc>
          <w:tcPr>
            <w:tcW w:w="573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7048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Составление плана работы со слабоуспевающими учащимися. </w:t>
            </w:r>
          </w:p>
        </w:tc>
        <w:tc>
          <w:tcPr>
            <w:tcW w:w="2517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</w:p>
        </w:tc>
      </w:tr>
      <w:tr>
        <w:tc>
          <w:tcPr>
            <w:tcW w:w="573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7048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Собеседования с родителями неуспевающих учеников  по результатам  диагностики.</w:t>
            </w:r>
          </w:p>
        </w:tc>
        <w:tc>
          <w:tcPr>
            <w:tcW w:w="2517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По итогам четверти.</w:t>
            </w:r>
          </w:p>
        </w:tc>
      </w:tr>
      <w:tr>
        <w:tc>
          <w:tcPr>
            <w:tcW w:w="573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7048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Собеседования с родителями  учеников  о состоянии дел у слабоуспевающих учащихся по результатам  индивидуальной работы с ребенком. </w:t>
            </w:r>
          </w:p>
        </w:tc>
        <w:tc>
          <w:tcPr>
            <w:tcW w:w="2517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Согласно графику контрольных работ.</w:t>
            </w:r>
          </w:p>
        </w:tc>
      </w:tr>
      <w:tr>
        <w:tc>
          <w:tcPr>
            <w:tcW w:w="573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7048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Индивидуальные беседы со слабоуспевающими учениками о состоянии их учебных дел.  </w:t>
            </w:r>
          </w:p>
        </w:tc>
        <w:tc>
          <w:tcPr>
            <w:tcW w:w="2517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Выборочно, по ситуации.</w:t>
            </w:r>
          </w:p>
        </w:tc>
      </w:tr>
      <w:tr>
        <w:tc>
          <w:tcPr>
            <w:tcW w:w="573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7048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Работа с родителями слабоуспевающих учащихся</w:t>
            </w:r>
          </w:p>
        </w:tc>
        <w:tc>
          <w:tcPr>
            <w:tcW w:w="2517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 течение всего  учебного года.</w:t>
            </w:r>
          </w:p>
        </w:tc>
      </w:tr>
      <w:tr>
        <w:tc>
          <w:tcPr>
            <w:tcW w:w="573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7048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Участие в обсуждение  вопросов работы  со слабыми учащимися  и обмен  опытом с коллегами (на педсовете) </w:t>
            </w:r>
          </w:p>
        </w:tc>
        <w:tc>
          <w:tcPr>
            <w:tcW w:w="2517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 течение учебного года.</w:t>
            </w:r>
          </w:p>
        </w:tc>
      </w:tr>
      <w:tr>
        <w:tc>
          <w:tcPr>
            <w:tcW w:w="573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7048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 Составление плана работы по ликвидации пробелов в знаниях отстающего ученика на текущую четверть.</w:t>
            </w:r>
          </w:p>
        </w:tc>
        <w:tc>
          <w:tcPr>
            <w:tcW w:w="2517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Обновлять по мере необходимости.</w:t>
            </w:r>
          </w:p>
        </w:tc>
      </w:tr>
      <w:tr>
        <w:tc>
          <w:tcPr>
            <w:tcW w:w="573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7048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Используя дифференцированный подход при организации самостоятельной работы на уроке, включать посильные индивидуальные задания слабоуспевающему ученику, фиксировать это в плане урока, чтобы не забыть. </w:t>
            </w:r>
          </w:p>
        </w:tc>
        <w:tc>
          <w:tcPr>
            <w:tcW w:w="2517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 течение учебного года.</w:t>
            </w:r>
          </w:p>
        </w:tc>
      </w:tr>
      <w:tr>
        <w:tc>
          <w:tcPr>
            <w:tcW w:w="573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7048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Вести обязательный тематический учет знаний слабоуспевающих учащихся  класса  при анализе тематического  учета знаний по предмету детей всего класса. </w:t>
            </w:r>
          </w:p>
        </w:tc>
        <w:tc>
          <w:tcPr>
            <w:tcW w:w="2517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 течение учебного года.</w:t>
            </w:r>
          </w:p>
        </w:tc>
      </w:tr>
      <w:tr>
        <w:tc>
          <w:tcPr>
            <w:tcW w:w="573" w:type="dxa"/>
          </w:tcPr>
          <w:p>
            <w:pPr>
              <w:spacing w:lineRule="auto" w:line="360" w:before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</w:t>
            </w:r>
          </w:p>
        </w:tc>
        <w:tc>
          <w:tcPr>
            <w:tcW w:w="7048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Отражать индивидуальную работу со слабым учеником в рабочих тетрадях по предмету.</w:t>
            </w:r>
          </w:p>
        </w:tc>
        <w:tc>
          <w:tcPr>
            <w:tcW w:w="2517" w:type="dxa"/>
            <w:vAlign w:val="center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 течение учебного года.</w:t>
            </w:r>
          </w:p>
        </w:tc>
      </w:tr>
    </w:tbl>
    <w:p>
      <w:pPr>
        <w:shd w:val="clear" w:fill="FFFFFF"/>
        <w:spacing w:lineRule="auto" w:line="360" w:before="82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 w:val="1"/>
        </w:rPr>
        <w:t xml:space="preserve">Прогнозируемый результат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Учащиеся к концу 1 класса должны уметь: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-  применять правила правописания на изученные орфограммы;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-  различать звуки и буквы; гласные и согласные звуки и буквы, твердые и мягкие, звонкие и 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глухие согласные звуки;          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-  воспроизводить наизусть результаты табличного сложения любых однозначных чисел;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-  выполнять вычитание, используя таблицу сложения;  </w:t>
      </w:r>
    </w:p>
    <w:p>
      <w:pPr>
        <w:shd w:val="clear" w:fill="FFFFFF"/>
        <w:spacing w:lineRule="auto" w:line="240" w:before="82" w:after="82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- решать задачи в одно, в два действия;                                                                                                                   .       - выполнять письменное сложение и вычитание в пределах 100;                                                                                                                                           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18"/>
        </w:rPr>
      </w:pP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24"/>
        </w:rPr>
      </w:pP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4"/>
        </w:rPr>
        <w:t>Отчет  по работе со слабоуспевающими учащимися</w:t>
      </w:r>
    </w:p>
    <w:p>
      <w:pPr>
        <w:shd w:val="clear" w:fill="FFFFFF"/>
        <w:spacing w:lineRule="auto" w:line="360" w:before="82" w:beforeAutospacing="0" w:afterAutospacing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 </w:t>
      </w:r>
    </w:p>
    <w:tbl>
      <w:tblPr>
        <w:tblStyle w:val="T2"/>
        <w:tblW w:w="5067" w:type="pct"/>
        <w:tblLook w:val="04A0"/>
      </w:tblPr>
      <w:tblGrid/>
      <w:tr>
        <w:tc>
          <w:tcPr>
            <w:tcW w:w="723" w:type="pct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Ф.И.О. ученика</w:t>
            </w:r>
          </w:p>
        </w:tc>
        <w:tc>
          <w:tcPr>
            <w:tcW w:w="1045" w:type="pct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неуспеваемости </w:t>
            </w:r>
          </w:p>
        </w:tc>
        <w:tc>
          <w:tcPr>
            <w:tcW w:w="1245" w:type="pct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Использованы виды опроса</w:t>
            </w:r>
          </w:p>
        </w:tc>
        <w:tc>
          <w:tcPr>
            <w:tcW w:w="1313" w:type="pct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ликвидации пробелов</w:t>
            </w:r>
          </w:p>
        </w:tc>
        <w:tc>
          <w:tcPr>
            <w:tcW w:w="674" w:type="pct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 работы</w:t>
            </w:r>
          </w:p>
        </w:tc>
      </w:tr>
      <w:tr>
        <w:tc>
          <w:tcPr>
            <w:tcW w:w="723" w:type="pct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45" w:type="pct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245" w:type="pct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313" w:type="pct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674" w:type="pct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 </w:t>
            </w:r>
          </w:p>
        </w:tc>
      </w:tr>
    </w:tbl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4"/>
        </w:rPr>
        <w:t>Индивидуальная  карта   ученика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 Ф.И.О. учителя .…                            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Фамилия  ученика ……………………….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Класс………………………………….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Предмет   ………………………  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24"/>
        </w:rPr>
      </w:pP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работы со слабоуспевающими учащимися на 20</w:t>
      </w:r>
      <w:r>
        <w:rPr>
          <w:rFonts w:ascii="Times New Roman" w:hAnsi="Times New Roman"/>
          <w:sz w:val="24"/>
        </w:rPr>
        <w:t>223-2024</w:t>
      </w:r>
      <w:r>
        <w:rPr>
          <w:rFonts w:ascii="Times New Roman" w:hAnsi="Times New Roman"/>
          <w:sz w:val="24"/>
        </w:rPr>
        <w:t xml:space="preserve"> уч. год</w:t>
      </w:r>
    </w:p>
    <w:tbl>
      <w:tblPr>
        <w:tblStyle w:val="T2"/>
        <w:tblW w:w="10491" w:type="dxa"/>
        <w:tblInd w:w="-885" w:type="dxa"/>
        <w:tblLayout w:type="fixed"/>
        <w:tblLook w:val="04A0"/>
      </w:tblPr>
      <w:tblGrid/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 п\п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ind w:left="6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Планируемые мероприятия</w:t>
            </w:r>
          </w:p>
        </w:tc>
        <w:tc>
          <w:tcPr>
            <w:tcW w:w="2161" w:type="dxa"/>
            <w:gridSpan w:val="2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Сроки их реализации</w:t>
            </w:r>
          </w:p>
        </w:tc>
      </w:tr>
      <w:tr>
        <w:tc>
          <w:tcPr>
            <w:tcW w:w="10491" w:type="dxa"/>
            <w:gridSpan w:val="4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                                                     Январь 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Индивидуальные дополнительные  занятия по русскому языку </w:t>
            </w:r>
            <w:r>
              <w:rPr>
                <w:rFonts w:ascii="Times New Roman" w:hAnsi="Times New Roman"/>
                <w:sz w:val="24"/>
              </w:rPr>
              <w:t>(каждая среда 5 урок)</w:t>
            </w:r>
          </w:p>
        </w:tc>
        <w:tc>
          <w:tcPr>
            <w:tcW w:w="1134" w:type="dxa"/>
          </w:tcPr>
          <w:p>
            <w:pPr>
              <w:spacing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Сроки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widowControl w:val="0"/>
              <w:shd w:val="clear" w:fill="FFFFFF"/>
              <w:ind w:left="24" w:right="19"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Правописание </w:t>
            </w:r>
          </w:p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гласных на конце наречий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Учимся писать наречия на шипящую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Слитное и раздельное написание числительных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Индивидуальные дополнительные  занятия по математике </w:t>
            </w:r>
            <w:r>
              <w:rPr>
                <w:rFonts w:ascii="Times New Roman" w:hAnsi="Times New Roman"/>
                <w:sz w:val="24"/>
              </w:rPr>
              <w:t>(каждая пятница 5 урок)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Задачи на разные виды движения двух тел: в противоположных направлениях и встречное движение, из одного или из двух пунктов – и их решение.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Умножение многозначного числа на однозначное. Несложные устные вычисления с многозначными числами.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Умножение многозначного числа на двузначное.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2.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Индивидуальные  задания</w:t>
            </w:r>
            <w:r>
              <w:rPr>
                <w:rFonts w:ascii="Times New Roman" w:hAnsi="Times New Roman"/>
                <w:sz w:val="24"/>
              </w:rPr>
              <w:t>.( Методическое  пособие.)</w:t>
            </w:r>
          </w:p>
        </w:tc>
        <w:tc>
          <w:tcPr>
            <w:tcW w:w="2161" w:type="dxa"/>
            <w:gridSpan w:val="2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 Русский язык : 4 класс: контрольно-измерительные материалы/ Сост. В.В. Никифорова.- М; ВАКО, 2013г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 Математика: 4 класс: контрольно-измерительные материалы/ Сост. Т.Н. Ситникова- М.; ВАКО, 2015г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3.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Индивидуальный  контроль знаний</w:t>
            </w:r>
            <w:r>
              <w:rPr>
                <w:rFonts w:ascii="Times New Roman" w:hAnsi="Times New Roman"/>
                <w:sz w:val="24"/>
              </w:rPr>
              <w:t xml:space="preserve">.      Темы.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 «Изложение с элементами сочинения»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 «Работа с текстом. Обучающее сочинение»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Контрольная работа по математике «Письменные приёмы умножения  чисел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4.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Работа  с  тетрадями</w:t>
            </w:r>
          </w:p>
        </w:tc>
        <w:tc>
          <w:tcPr>
            <w:tcW w:w="2161" w:type="dxa"/>
            <w:gridSpan w:val="2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ежедневно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1) Пишем грамотно: 4 класс: рабочие тетради №1,2 /                        М. И. Кузнецова.  – М.: Вентана-Граф, 2014 г.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2) Математика: 4 класс: рабочая тетрадь № 1, 2 для учащихся общеобразовательных учреждений / В.Н. Рудницкая, Т. В. Юдачева.  М.: Вентана - Граф, 2013.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5.</w:t>
            </w:r>
          </w:p>
        </w:tc>
        <w:tc>
          <w:tcPr>
            <w:tcW w:w="7528" w:type="dxa"/>
            <w:vAlign w:val="center"/>
          </w:tcPr>
          <w:p>
            <w:pPr>
              <w:spacing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Консультации для родителей. 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«Причины неуспеваемости детей»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6.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Создание ситуации успеха на уроке.</w:t>
            </w:r>
          </w:p>
        </w:tc>
        <w:tc>
          <w:tcPr>
            <w:tcW w:w="2161" w:type="dxa"/>
            <w:gridSpan w:val="2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ежедневно</w:t>
            </w:r>
          </w:p>
        </w:tc>
      </w:tr>
      <w:tr>
        <w:tc>
          <w:tcPr>
            <w:tcW w:w="10491" w:type="dxa"/>
            <w:gridSpan w:val="4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                                  Февраль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1.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Индивидуальные дополнительные  занятия по русскому языку </w:t>
            </w:r>
            <w:r>
              <w:rPr>
                <w:rFonts w:ascii="Times New Roman" w:hAnsi="Times New Roman"/>
                <w:sz w:val="24"/>
              </w:rPr>
              <w:t>(каждая среда 5 урок)</w:t>
            </w:r>
          </w:p>
        </w:tc>
        <w:tc>
          <w:tcPr>
            <w:tcW w:w="1134" w:type="dxa"/>
          </w:tcPr>
          <w:p>
            <w:pPr>
              <w:spacing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Сроки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Правописание числительных. </w:t>
              <w:br w:type="textWrapping"/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Связь слов в предложении. Словосочетание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связаны части сложносочинённого предложения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Знаки препинания в сложном предложении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Индивидуальные дополнительные  занятия по математике </w:t>
            </w:r>
            <w:r>
              <w:rPr>
                <w:rFonts w:ascii="Times New Roman" w:hAnsi="Times New Roman"/>
                <w:sz w:val="24"/>
              </w:rPr>
              <w:t>(каждая пятница 5 урок)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Решение  логических задач перебором возможных вариантов.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более сложных логических задач перебором возможных вариантов.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Деление суммы на число. Запись свойств арифметических действий с использованием букв.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Масштабы географических карт. Решение задач.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2.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Индивидуальные  задания</w:t>
            </w:r>
            <w:r>
              <w:rPr>
                <w:rFonts w:ascii="Times New Roman" w:hAnsi="Times New Roman"/>
                <w:sz w:val="24"/>
              </w:rPr>
              <w:t>.( Методическое  пособие.)</w:t>
            </w:r>
          </w:p>
        </w:tc>
        <w:tc>
          <w:tcPr>
            <w:tcW w:w="2161" w:type="dxa"/>
            <w:gridSpan w:val="2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 Русский язык : 4 класс: контрольно-измерительные материалы/ Сост. В.В. Никифорова.- М; ВАКО, 2013г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 Математика: 4 класс: контрольно-измерительные материалы/ Сост. Т.Н. Ситникова- М.; ВАКО, 2015г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2. 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Индивидуальный  контроль знаний.      Темы.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widowControl w:val="0"/>
              <w:shd w:val="clear" w:fill="FFFFFF"/>
              <w:ind w:left="24" w:right="19"/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язык: Диктант «Окончание глаголов в прошедшем времени, суффиксы глаголов, безударные личные окончания глаголов.Контрольная работа «Времена глагола»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язык: Контрольная работа «Времена глагола»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Математика:</w:t>
            </w:r>
            <w:r>
              <w:rPr>
                <w:b w:val="1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Контрольная работа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по теме «Высказывания».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3.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Работа  с  тетрадями.</w:t>
            </w:r>
          </w:p>
        </w:tc>
        <w:tc>
          <w:tcPr>
            <w:tcW w:w="2161" w:type="dxa"/>
            <w:gridSpan w:val="2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ежедневно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1) Пишем грамотно: 4 класс: рабочие тетради №1,2 /                        М. И. Кузнецова.  – М.: Вентана-Граф, 2014 г.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2) Математика: 4 класс: рабочая тетрадь № 1, 2 для учащихся общеобразовательных учреждений / В.Н. Рудницкая, Т. В. Юдачева.  М.: Вентана - Граф, 2013.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4.</w:t>
            </w:r>
          </w:p>
        </w:tc>
        <w:tc>
          <w:tcPr>
            <w:tcW w:w="7528" w:type="dxa"/>
            <w:vAlign w:val="center"/>
          </w:tcPr>
          <w:p>
            <w:pPr>
              <w:spacing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Консультации для родителей. (Тема)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Посещение уроков родителями с целью выявления трудностей в обучении детей.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5.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Создание ситуации успеха на уроке.</w:t>
            </w:r>
          </w:p>
        </w:tc>
        <w:tc>
          <w:tcPr>
            <w:tcW w:w="2161" w:type="dxa"/>
            <w:gridSpan w:val="2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ежедневно</w:t>
            </w:r>
          </w:p>
        </w:tc>
      </w:tr>
      <w:tr>
        <w:tc>
          <w:tcPr>
            <w:tcW w:w="10491" w:type="dxa"/>
            <w:gridSpan w:val="4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                                                    Март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Индивидуальные дополнительные  занятия по русскому языку </w:t>
            </w:r>
            <w:r>
              <w:rPr>
                <w:rFonts w:ascii="Times New Roman" w:hAnsi="Times New Roman"/>
                <w:sz w:val="24"/>
              </w:rPr>
              <w:t>(каждая среда 5 урок)</w:t>
            </w:r>
          </w:p>
        </w:tc>
        <w:tc>
          <w:tcPr>
            <w:tcW w:w="1134" w:type="dxa"/>
          </w:tcPr>
          <w:p>
            <w:pPr>
              <w:spacing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Сроки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Учимся ставить запятые между частями  сложного предложения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hd w:val="clear" w:fill="FFFFFF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связанны части сложноподчинённого предложения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Учимся ставить запятые между частями сложного предложения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Индивидуальные дополнительные  занятия по математике </w:t>
            </w:r>
            <w:r>
              <w:rPr>
                <w:rFonts w:ascii="Times New Roman" w:hAnsi="Times New Roman"/>
                <w:sz w:val="24"/>
              </w:rPr>
              <w:t>(каждая пятница 5 урок)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Письменные алгоритмы деления многозначных чисел на однозначное число.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Деление на двузначное число.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Способы проверки правильности результатов вычислений (с помощью обратного действия, оценка достоверности, прикидка результата, с помощью микрокалькулятора).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2. 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Индивидуальный  контроль знаний.      </w:t>
            </w:r>
            <w:r>
              <w:rPr>
                <w:rFonts w:ascii="Times New Roman" w:hAnsi="Times New Roman"/>
                <w:sz w:val="24"/>
              </w:rPr>
              <w:t>Темы.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contextualSpacing w:val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язык: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Итоговый диктант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«Орфограммы, изученные в III четверти»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b w:val="1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Математика: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Контрольная работа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 теме «Деление многозначного числа на однозначное. Деление на 10, 100, 1000…»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Математика: Итоговая контрольная работа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 3 четверть.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3.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Работа  с  тетрадями.</w:t>
            </w:r>
          </w:p>
        </w:tc>
        <w:tc>
          <w:tcPr>
            <w:tcW w:w="2161" w:type="dxa"/>
            <w:gridSpan w:val="2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ежедневно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1) Пишем грамотно: 4 класс: рабочие тетради №1,2 /                        М. И. Кузнецова.  – М.: Вентана-Граф, 2014 г.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2) Математика: 4 класс: рабочая тетрадь № 1, 2 для учащихся общеобразовательных учреждений / В.Н. Рудницкая, Т. В. Юдачева.  М.: Вентана - Граф, 2013.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4.</w:t>
            </w:r>
          </w:p>
        </w:tc>
        <w:tc>
          <w:tcPr>
            <w:tcW w:w="7528" w:type="dxa"/>
            <w:vAlign w:val="center"/>
          </w:tcPr>
          <w:p>
            <w:pPr>
              <w:spacing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Консультации для родителей. (Тема)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выполнения домашних заданий.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5.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Создание ситуации успеха на уроке.</w:t>
            </w:r>
          </w:p>
        </w:tc>
        <w:tc>
          <w:tcPr>
            <w:tcW w:w="2161" w:type="dxa"/>
            <w:gridSpan w:val="2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ежедневно</w:t>
            </w:r>
          </w:p>
        </w:tc>
      </w:tr>
      <w:tr>
        <w:tc>
          <w:tcPr>
            <w:tcW w:w="10491" w:type="dxa"/>
            <w:gridSpan w:val="4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                                           Апрель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1.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Индивидуальные дополнительные  занятия по русскому языку </w:t>
            </w:r>
            <w:r>
              <w:rPr>
                <w:rFonts w:ascii="Times New Roman" w:hAnsi="Times New Roman"/>
                <w:sz w:val="24"/>
              </w:rPr>
              <w:t>(каждая среда 5 урок)</w:t>
            </w:r>
          </w:p>
        </w:tc>
        <w:tc>
          <w:tcPr>
            <w:tcW w:w="1134" w:type="dxa"/>
          </w:tcPr>
          <w:p>
            <w:pPr>
              <w:spacing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Сроки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Сложное предложение 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Учимся писать текст-рассуждение 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Мягкий знак на конце слов после шипящих 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Учимся писать краткое изложение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Индивидуальные дополнительные  занятия по математике </w:t>
            </w:r>
            <w:r>
              <w:rPr>
                <w:rFonts w:ascii="Times New Roman" w:hAnsi="Times New Roman"/>
                <w:sz w:val="24"/>
              </w:rPr>
              <w:t>(каждая пятница 5 урок)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Деление отрезка на 2, 4, 8 равных частей с помощью циркуля и линейки.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Примеры арифметических задач, содержащих в условии буквенные данные.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буквенных равенств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Нахождение неизвестного числа в равенствах вида: 8 + х = 16, 8 ·  х = 16, 8 – х = 2, 8 : х = 2. Вычисления с многозначными числами, содержащимися в аналогичных равенствах. Составление буквенных равенств.   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Примеры арифметических задач, содержащих в условии буквенные данные.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2. 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Индивидуальный  контроль знаний.      Темы.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Русский язык:  Контрольная работа «Глагол, наречие, имя числительное</w:t>
            </w:r>
          </w:p>
          <w:p>
            <w:pPr>
              <w:widowControl w:val="0"/>
              <w:shd w:val="clear" w:fill="FFFFFF"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Русский язык:  Контрольная работа.« Словосочетание, слово, предложение; связь слов в словосочетании»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Математика: Проверочная работа по теме «Деление на двузначное число».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Математика: Проверочная работа по теме «Деление на трехзначное число».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Диагностическая работа. Комплексная работа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3.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Работа  с  тетрадями.</w:t>
            </w:r>
          </w:p>
        </w:tc>
        <w:tc>
          <w:tcPr>
            <w:tcW w:w="2161" w:type="dxa"/>
            <w:gridSpan w:val="2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ежедневно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1) Пишем грамотно: 4 класс: рабочие тетради №1,2 /                        М. И. Кузнецова.  – М.: Вентана-Граф, 2014 г.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2) Математика: 4 класс: рабочая тетрадь № 1, 2 для учащихся общеобразовательных учреждений / В.Н. Рудницкая, Т. В. Юдачева.  М.: Вентана - Граф, 2013.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4.</w:t>
            </w:r>
          </w:p>
        </w:tc>
        <w:tc>
          <w:tcPr>
            <w:tcW w:w="7528" w:type="dxa"/>
            <w:vAlign w:val="center"/>
          </w:tcPr>
          <w:p>
            <w:pPr>
              <w:spacing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Консультации для родителей</w:t>
            </w:r>
            <w:r>
              <w:rPr>
                <w:rFonts w:ascii="Times New Roman" w:hAnsi="Times New Roman"/>
                <w:sz w:val="24"/>
              </w:rPr>
              <w:t>. (Тема)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«Подготовка  к экзаменам»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5.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Создание ситуации успеха на уроке.</w:t>
            </w:r>
          </w:p>
        </w:tc>
        <w:tc>
          <w:tcPr>
            <w:tcW w:w="2161" w:type="dxa"/>
            <w:gridSpan w:val="2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ежедневно</w:t>
            </w:r>
          </w:p>
        </w:tc>
      </w:tr>
      <w:tr>
        <w:tc>
          <w:tcPr>
            <w:tcW w:w="10491" w:type="dxa"/>
            <w:gridSpan w:val="4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                                              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Май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1.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Индивидуальные дополнительные  занятия по русскому языку </w:t>
            </w:r>
            <w:r>
              <w:rPr>
                <w:rFonts w:ascii="Times New Roman" w:hAnsi="Times New Roman"/>
                <w:sz w:val="24"/>
              </w:rPr>
              <w:t>(каждая среда 5 урок)</w:t>
            </w:r>
          </w:p>
        </w:tc>
        <w:tc>
          <w:tcPr>
            <w:tcW w:w="1134" w:type="dxa"/>
          </w:tcPr>
          <w:p>
            <w:pPr>
              <w:spacing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Сроки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Обучающее изложение с элементами сочинения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Морфологический разбор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разбор предложения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Индивидуальные дополнительные  занятия по математике </w:t>
            </w:r>
            <w:r>
              <w:rPr>
                <w:rFonts w:ascii="Times New Roman" w:hAnsi="Times New Roman"/>
                <w:sz w:val="24"/>
              </w:rPr>
              <w:t>(каждая пятница 5 урок)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треугольников в зависимости от видов их углов 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Измерение длины, массы, времени, площади с указанной точностью.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Построение отрезка, равного данному, с помощью циркуля и линейки (в том числе отрезка заданной длины).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2. 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Индивидуальный  контроль знаний.      </w:t>
            </w:r>
            <w:r>
              <w:rPr>
                <w:rFonts w:ascii="Times New Roman" w:hAnsi="Times New Roman"/>
                <w:sz w:val="24"/>
              </w:rPr>
              <w:t>Темы.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widowControl w:val="0"/>
              <w:shd w:val="clear" w:fill="FFFFFF"/>
              <w:spacing w:before="65" w:beforeAutospacing="0" w:afterAutospacing="0"/>
              <w:contextualSpacing w:val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Русский язык Диктант 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«Правописание слов в словосочетаниях»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язык: Итоговый диктант</w:t>
            </w:r>
            <w:r>
              <w:rPr>
                <w:rFonts w:ascii="Times New Roman" w:hAnsi="Times New Roman"/>
                <w:b w:val="1"/>
                <w:sz w:val="24"/>
              </w:rPr>
              <w:t xml:space="preserve">  «</w:t>
            </w:r>
            <w:r>
              <w:rPr>
                <w:rFonts w:ascii="Times New Roman" w:hAnsi="Times New Roman"/>
                <w:sz w:val="24"/>
              </w:rPr>
              <w:t xml:space="preserve"> Орфограммы и пунктуационные правила  изученные во 2 – 4 классах»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Математика: Контрольная работа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FF66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«Письменные приемы вычислений».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Математика: Итоговая контрольная работа за год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3.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Работа  с  тетрадями.</w:t>
            </w:r>
          </w:p>
        </w:tc>
        <w:tc>
          <w:tcPr>
            <w:tcW w:w="2161" w:type="dxa"/>
            <w:gridSpan w:val="2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ежедневно</w:t>
            </w: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1) Пишем грамотно: 4 класс: рабочие тетради №1,2 /                        М. И. Кузнецова.  – М.: Вентана-Граф, 2014 г.</w:t>
            </w:r>
          </w:p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2) Математика: 4 класс: рабочая тетрадь № 1, 2 для учащихся общеобразовательных учреждений / В.Н. Рудницкая, Т. В. Юдачева.  М.: Вентана - Граф, 2013.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4.</w:t>
            </w:r>
          </w:p>
        </w:tc>
        <w:tc>
          <w:tcPr>
            <w:tcW w:w="7528" w:type="dxa"/>
            <w:vAlign w:val="center"/>
          </w:tcPr>
          <w:p>
            <w:pPr>
              <w:spacing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Консультации для родителей. (Тема)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Итоги  проделанной работы. Дальнейшие рекомендации обучения</w:t>
            </w:r>
          </w:p>
        </w:tc>
        <w:tc>
          <w:tcPr>
            <w:tcW w:w="1134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27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802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5.</w:t>
            </w:r>
          </w:p>
        </w:tc>
        <w:tc>
          <w:tcPr>
            <w:tcW w:w="7528" w:type="dxa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Создание ситуации успеха на уроке.</w:t>
            </w:r>
          </w:p>
        </w:tc>
        <w:tc>
          <w:tcPr>
            <w:tcW w:w="2161" w:type="dxa"/>
            <w:gridSpan w:val="2"/>
          </w:tcPr>
          <w:p>
            <w:pPr>
              <w:spacing w:lineRule="auto" w:line="360" w:before="82" w:after="82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ежедневно</w:t>
            </w:r>
          </w:p>
        </w:tc>
      </w:tr>
    </w:tbl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18"/>
        </w:rPr>
      </w:pPr>
    </w:p>
    <w:p>
      <w:pPr>
        <w:shd w:val="clear" w:fill="FFFFFF"/>
        <w:spacing w:lineRule="auto" w:line="360" w:before="82" w:after="82" w:beforeAutospacing="0" w:afterAutospacing="0"/>
        <w:ind w:left="-1134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 Литература </w:t>
      </w:r>
    </w:p>
    <w:p>
      <w:pPr>
        <w:spacing w:lineRule="auto" w:line="360" w:before="82" w:after="82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Пишем грамотно: 4 класс: рабочие тетради №1,2 / М. И. Кузнецова.  – М.: Вентана-Граф, 2014 г.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Математика: 4 класс: рабочая тетрадь № 1, 2 для учащихся общеобразовательных учреждений / В.Н. Рудницкая, Т. В. Юдачева.  М.: Вентана - Граф, 2013.</w:t>
      </w:r>
    </w:p>
    <w:p>
      <w:pPr>
        <w:spacing w:lineRule="auto" w:line="360" w:before="82" w:after="82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Русский язык : 4 класс: контрольно-измерительные материалы/ Сост. В.В. Никифорова.- М; ВАКО, 2013г</w:t>
      </w:r>
    </w:p>
    <w:p>
      <w:pPr>
        <w:shd w:val="clear" w:fill="FFFFFF"/>
        <w:spacing w:lineRule="auto" w:line="360" w:before="82" w:after="82" w:beforeAutospacing="0" w:afterAutospacing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4"/>
        </w:rPr>
        <w:t>4. Математика: 4 класс: контрольно-измерительные материалы/ Сост. Т.Н. Ситникова- М.; ВАКО, 2015г</w:t>
      </w:r>
    </w:p>
    <w:p/>
    <w:sectPr>
      <w:type w:val="nextPage"/>
      <w:pgSz w:w="11906" w:h="16838" w:code="9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CA04C14"/>
    <w:multiLevelType w:val="multilevel"/>
    <w:lvl w:ilvl="0">
      <w:start w:val="1"/>
      <w:numFmt w:val="decimal"/>
      <w:suff w:val="tab"/>
      <w:lvlText w:val="%1."/>
      <w:lvlJc w:val="left"/>
      <w:pPr>
        <w:ind w:hanging="360" w:left="928"/>
        <w:tabs>
          <w:tab w:val="left" w:pos="928" w:leader="none"/>
        </w:tabs>
      </w:pPr>
      <w:rPr/>
    </w:lvl>
    <w:lvl w:ilvl="1">
      <w:start w:val="1"/>
      <w:numFmt w:val="decimal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1">
    <w:nsid w:val="3F2B1771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decimal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>
      <w:rFonts w:ascii="Calibri" w:hAnsi="Calibri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rPr>
      <w:rFonts w:ascii="Calibri" w:hAnsi="Calibri"/>
      <w:sz w:val="20"/>
    </w:rPr>
    <w:tblPr>
      <w:tblInd w:w="0" w:type="dxa"/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